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91FB7B" w14:textId="72A39048" w:rsidR="000F190B" w:rsidRPr="003C439A" w:rsidRDefault="003C439A" w:rsidP="00547B0C">
      <w:pPr>
        <w:spacing w:after="120" w:line="288" w:lineRule="auto"/>
        <w:jc w:val="center"/>
        <w:rPr>
          <w:rFonts w:ascii="Arial" w:hAnsi="Arial" w:cs="Arial"/>
          <w:lang w:val="de-DE"/>
        </w:rPr>
      </w:pPr>
      <w:r>
        <w:rPr>
          <w:rFonts w:ascii="Arial" w:hAnsi="Arial" w:cs="Arial"/>
          <w:lang w:val="de-DE"/>
        </w:rPr>
        <w:t>PRESSEINFORMATION</w:t>
      </w:r>
      <w:r w:rsidR="005856FC" w:rsidRPr="003C439A">
        <w:rPr>
          <w:rFonts w:ascii="Arial" w:hAnsi="Arial" w:cs="Arial"/>
          <w:lang w:val="de-DE"/>
        </w:rPr>
        <w:t xml:space="preserve"> </w:t>
      </w:r>
      <w:r w:rsidR="00AA2C07">
        <w:rPr>
          <w:rFonts w:ascii="Arial" w:hAnsi="Arial" w:cs="Arial"/>
          <w:lang w:val="de-DE"/>
        </w:rPr>
        <w:t>–</w:t>
      </w:r>
      <w:r w:rsidR="004676F3">
        <w:rPr>
          <w:rFonts w:ascii="Arial" w:hAnsi="Arial" w:cs="Arial"/>
          <w:lang w:val="de-DE"/>
        </w:rPr>
        <w:t xml:space="preserve"> </w:t>
      </w:r>
      <w:r w:rsidR="008A2EB9">
        <w:rPr>
          <w:rFonts w:ascii="Arial" w:hAnsi="Arial" w:cs="Arial"/>
          <w:lang w:val="de-DE"/>
        </w:rPr>
        <w:t>08</w:t>
      </w:r>
      <w:r w:rsidR="00270E43">
        <w:rPr>
          <w:rFonts w:ascii="Arial" w:hAnsi="Arial" w:cs="Arial"/>
          <w:lang w:val="de-DE"/>
        </w:rPr>
        <w:t>. September</w:t>
      </w:r>
      <w:r w:rsidR="005856FC" w:rsidRPr="003C439A">
        <w:rPr>
          <w:rFonts w:ascii="Arial" w:hAnsi="Arial" w:cs="Arial"/>
          <w:lang w:val="de-DE"/>
        </w:rPr>
        <w:t xml:space="preserve"> 2022</w:t>
      </w:r>
    </w:p>
    <w:p w14:paraId="2A1D9342" w14:textId="28E8E6AB" w:rsidR="005856FC" w:rsidRPr="003C439A" w:rsidRDefault="001876AE" w:rsidP="007B3A50">
      <w:pPr>
        <w:spacing w:after="120" w:line="288" w:lineRule="auto"/>
        <w:jc w:val="center"/>
        <w:rPr>
          <w:rFonts w:ascii="Arial" w:hAnsi="Arial" w:cs="Arial"/>
          <w:b/>
          <w:bCs/>
          <w:sz w:val="28"/>
          <w:szCs w:val="28"/>
          <w:lang w:val="de-DE"/>
        </w:rPr>
      </w:pPr>
      <w:r>
        <w:rPr>
          <w:rFonts w:ascii="Arial" w:hAnsi="Arial" w:cs="Arial"/>
          <w:b/>
          <w:bCs/>
          <w:sz w:val="28"/>
          <w:szCs w:val="28"/>
          <w:lang w:val="de-DE"/>
        </w:rPr>
        <w:t>Neue Blaulicht-Technologie</w:t>
      </w:r>
      <w:r w:rsidR="00DA7E9E">
        <w:rPr>
          <w:rFonts w:ascii="Arial" w:hAnsi="Arial" w:cs="Arial"/>
          <w:b/>
          <w:bCs/>
          <w:sz w:val="28"/>
          <w:szCs w:val="28"/>
          <w:lang w:val="de-DE"/>
        </w:rPr>
        <w:t xml:space="preserve"> bei Brillen</w:t>
      </w:r>
    </w:p>
    <w:p w14:paraId="40585F29" w14:textId="77777777" w:rsidR="00B61376" w:rsidRDefault="00374FB6" w:rsidP="007B3A50">
      <w:pPr>
        <w:spacing w:after="120" w:line="288" w:lineRule="auto"/>
        <w:ind w:right="-993"/>
        <w:jc w:val="center"/>
        <w:rPr>
          <w:rFonts w:ascii="Arial" w:hAnsi="Arial" w:cs="Arial"/>
          <w:b/>
          <w:bCs/>
          <w:sz w:val="28"/>
          <w:szCs w:val="28"/>
          <w:lang w:val="de-DE"/>
        </w:rPr>
      </w:pPr>
      <w:r w:rsidRPr="00374FB6">
        <w:rPr>
          <w:rFonts w:ascii="Arial" w:hAnsi="Arial" w:cs="Arial"/>
          <w:b/>
          <w:bCs/>
          <w:sz w:val="28"/>
          <w:szCs w:val="28"/>
          <w:lang w:val="de-DE"/>
        </w:rPr>
        <w:t xml:space="preserve">Bollé Safety erweitert seine </w:t>
      </w:r>
      <w:proofErr w:type="spellStart"/>
      <w:r w:rsidRPr="00374FB6">
        <w:rPr>
          <w:rFonts w:ascii="Arial" w:hAnsi="Arial" w:cs="Arial"/>
          <w:b/>
          <w:bCs/>
          <w:sz w:val="28"/>
          <w:szCs w:val="28"/>
          <w:lang w:val="de-DE"/>
        </w:rPr>
        <w:t>ProBlu</w:t>
      </w:r>
      <w:proofErr w:type="spellEnd"/>
      <w:r w:rsidRPr="00374FB6">
        <w:rPr>
          <w:rFonts w:ascii="Arial" w:hAnsi="Arial" w:cs="Arial"/>
          <w:b/>
          <w:bCs/>
          <w:sz w:val="28"/>
          <w:szCs w:val="28"/>
          <w:lang w:val="de-DE"/>
        </w:rPr>
        <w:t xml:space="preserve"> Blue Blocker Technologie </w:t>
      </w:r>
    </w:p>
    <w:p w14:paraId="7C7C91A3" w14:textId="3CAC7D86" w:rsidR="00374FB6" w:rsidRDefault="00374FB6" w:rsidP="007B3A50">
      <w:pPr>
        <w:spacing w:after="120" w:line="288" w:lineRule="auto"/>
        <w:ind w:right="-993"/>
        <w:jc w:val="center"/>
        <w:rPr>
          <w:rFonts w:ascii="Arial" w:hAnsi="Arial" w:cs="Arial"/>
          <w:b/>
          <w:bCs/>
          <w:sz w:val="28"/>
          <w:szCs w:val="28"/>
          <w:lang w:val="de-DE"/>
        </w:rPr>
      </w:pPr>
      <w:r w:rsidRPr="00374FB6">
        <w:rPr>
          <w:rFonts w:ascii="Arial" w:hAnsi="Arial" w:cs="Arial"/>
          <w:b/>
          <w:bCs/>
          <w:sz w:val="28"/>
          <w:szCs w:val="28"/>
          <w:lang w:val="de-DE"/>
        </w:rPr>
        <w:t>für Korrektionsgläser</w:t>
      </w:r>
    </w:p>
    <w:p w14:paraId="00D55D73" w14:textId="77777777" w:rsidR="007B3A50" w:rsidRPr="008A2EB9" w:rsidRDefault="007B3A50" w:rsidP="00547B0C">
      <w:pPr>
        <w:spacing w:after="120" w:line="288" w:lineRule="auto"/>
        <w:jc w:val="both"/>
        <w:rPr>
          <w:rFonts w:ascii="Arial" w:hAnsi="Arial" w:cs="Arial"/>
          <w:sz w:val="16"/>
          <w:szCs w:val="16"/>
          <w:lang w:val="de-DE"/>
        </w:rPr>
      </w:pPr>
    </w:p>
    <w:p w14:paraId="75ED2F4D" w14:textId="5DA2CB56" w:rsidR="007B3A50" w:rsidRPr="008A2EB9" w:rsidRDefault="00577CDB" w:rsidP="00DA7E9E">
      <w:pPr>
        <w:spacing w:after="120" w:line="288" w:lineRule="auto"/>
        <w:ind w:right="-1276"/>
        <w:jc w:val="both"/>
        <w:rPr>
          <w:rFonts w:ascii="Arial" w:hAnsi="Arial" w:cs="Arial"/>
          <w:sz w:val="16"/>
          <w:szCs w:val="16"/>
          <w:lang w:val="de-DE"/>
        </w:rPr>
      </w:pPr>
      <w:r>
        <w:rPr>
          <w:noProof/>
        </w:rPr>
        <w:drawing>
          <wp:inline distT="0" distB="0" distL="0" distR="0" wp14:anchorId="7A39FEE5" wp14:editId="19DF466D">
            <wp:extent cx="1946539" cy="1296000"/>
            <wp:effectExtent l="0" t="0" r="0" b="0"/>
            <wp:docPr id="5" name="Grafik 5" descr="Ein Bild, das Person, Mann enthält.&#10;&#10;Automatisch generierte Beschreibu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Person, Mann enthält.&#10;&#10;Automatisch generierte Beschreibung">
                      <a:hlinkClick r:id="rId10"/>
                    </pic:cNvPr>
                    <pic:cNvPicPr/>
                  </pic:nvPicPr>
                  <pic:blipFill>
                    <a:blip r:embed="rId11"/>
                    <a:stretch>
                      <a:fillRect/>
                    </a:stretch>
                  </pic:blipFill>
                  <pic:spPr>
                    <a:xfrm>
                      <a:off x="0" y="0"/>
                      <a:ext cx="1946539" cy="1296000"/>
                    </a:xfrm>
                    <a:prstGeom prst="rect">
                      <a:avLst/>
                    </a:prstGeom>
                  </pic:spPr>
                </pic:pic>
              </a:graphicData>
            </a:graphic>
          </wp:inline>
        </w:drawing>
      </w:r>
      <w:r w:rsidRPr="008A2EB9">
        <w:rPr>
          <w:rFonts w:ascii="Arial" w:hAnsi="Arial" w:cs="Arial"/>
          <w:sz w:val="16"/>
          <w:szCs w:val="16"/>
          <w:lang w:val="de-DE"/>
        </w:rPr>
        <w:t xml:space="preserve"> </w:t>
      </w:r>
      <w:r w:rsidR="00DA7E9E">
        <w:rPr>
          <w:noProof/>
        </w:rPr>
        <w:drawing>
          <wp:inline distT="0" distB="0" distL="0" distR="0" wp14:anchorId="6E1A4B8E" wp14:editId="5209505F">
            <wp:extent cx="2493269" cy="1078994"/>
            <wp:effectExtent l="0" t="0" r="2540" b="6985"/>
            <wp:docPr id="7" name="Grafik 7" descr="Ein Bild, das Brille, Sonnenbrille, Zubehör, Schutzbrille enthält.&#10;&#10;Automatisch generierte Beschreibu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Brille, Sonnenbrille, Zubehör, Schutzbrille enthält.&#10;&#10;Automatisch generierte Beschreibung">
                      <a:hlinkClick r:id="rId12"/>
                    </pic:cNvPr>
                    <pic:cNvPicPr/>
                  </pic:nvPicPr>
                  <pic:blipFill>
                    <a:blip r:embed="rId13"/>
                    <a:stretch>
                      <a:fillRect/>
                    </a:stretch>
                  </pic:blipFill>
                  <pic:spPr>
                    <a:xfrm>
                      <a:off x="0" y="0"/>
                      <a:ext cx="2493269" cy="1078994"/>
                    </a:xfrm>
                    <a:prstGeom prst="rect">
                      <a:avLst/>
                    </a:prstGeom>
                  </pic:spPr>
                </pic:pic>
              </a:graphicData>
            </a:graphic>
          </wp:inline>
        </w:drawing>
      </w:r>
      <w:r w:rsidR="00DA7E9E" w:rsidRPr="008A2EB9">
        <w:rPr>
          <w:rFonts w:ascii="Arial" w:hAnsi="Arial" w:cs="Arial"/>
          <w:sz w:val="16"/>
          <w:szCs w:val="16"/>
          <w:lang w:val="de-DE"/>
        </w:rPr>
        <w:t xml:space="preserve"> </w:t>
      </w:r>
      <w:r w:rsidR="00436008">
        <w:rPr>
          <w:noProof/>
        </w:rPr>
        <w:drawing>
          <wp:inline distT="0" distB="0" distL="0" distR="0" wp14:anchorId="6769F249" wp14:editId="71B24023">
            <wp:extent cx="1946539" cy="1296000"/>
            <wp:effectExtent l="0" t="0" r="0" b="0"/>
            <wp:docPr id="6" name="Grafik 6" descr="Ein Bild, das Text, Person, Mann, darstellend enthält.&#10;&#10;Automatisch generierte Beschreibun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Person, Mann, darstellend enthält.&#10;&#10;Automatisch generierte Beschreibung">
                      <a:hlinkClick r:id="rId14"/>
                    </pic:cNvPr>
                    <pic:cNvPicPr/>
                  </pic:nvPicPr>
                  <pic:blipFill>
                    <a:blip r:embed="rId15"/>
                    <a:stretch>
                      <a:fillRect/>
                    </a:stretch>
                  </pic:blipFill>
                  <pic:spPr>
                    <a:xfrm>
                      <a:off x="0" y="0"/>
                      <a:ext cx="1946539" cy="1296000"/>
                    </a:xfrm>
                    <a:prstGeom prst="rect">
                      <a:avLst/>
                    </a:prstGeom>
                  </pic:spPr>
                </pic:pic>
              </a:graphicData>
            </a:graphic>
          </wp:inline>
        </w:drawing>
      </w:r>
      <w:r w:rsidR="00436008" w:rsidRPr="008A2EB9">
        <w:rPr>
          <w:rFonts w:ascii="Arial" w:hAnsi="Arial" w:cs="Arial"/>
          <w:sz w:val="16"/>
          <w:szCs w:val="16"/>
          <w:lang w:val="de-DE"/>
        </w:rPr>
        <w:t xml:space="preserve"> </w:t>
      </w:r>
    </w:p>
    <w:p w14:paraId="07627A68" w14:textId="73C771E7" w:rsidR="0088783B" w:rsidRPr="0049228A" w:rsidRDefault="00A33951" w:rsidP="00547B0C">
      <w:pPr>
        <w:spacing w:after="120" w:line="288" w:lineRule="auto"/>
        <w:jc w:val="both"/>
        <w:rPr>
          <w:rFonts w:ascii="Arial" w:hAnsi="Arial" w:cs="Arial"/>
          <w:sz w:val="16"/>
          <w:szCs w:val="16"/>
          <w:lang w:val="en-GB"/>
        </w:rPr>
      </w:pPr>
      <w:r w:rsidRPr="0049228A">
        <w:rPr>
          <w:rFonts w:ascii="Arial" w:hAnsi="Arial" w:cs="Arial"/>
          <w:sz w:val="16"/>
          <w:szCs w:val="16"/>
          <w:lang w:val="en-GB"/>
        </w:rPr>
        <w:t>©</w:t>
      </w:r>
      <w:proofErr w:type="spellStart"/>
      <w:r w:rsidRPr="0049228A">
        <w:rPr>
          <w:rFonts w:ascii="Arial" w:hAnsi="Arial" w:cs="Arial"/>
          <w:sz w:val="16"/>
          <w:szCs w:val="16"/>
          <w:lang w:val="en-GB"/>
        </w:rPr>
        <w:t>Fotos</w:t>
      </w:r>
      <w:proofErr w:type="spellEnd"/>
      <w:r w:rsidRPr="0049228A">
        <w:rPr>
          <w:rFonts w:ascii="Arial" w:hAnsi="Arial" w:cs="Arial"/>
          <w:sz w:val="16"/>
          <w:szCs w:val="16"/>
          <w:lang w:val="en-GB"/>
        </w:rPr>
        <w:t>: Bollé Safety</w:t>
      </w:r>
      <w:r w:rsidR="00E11927" w:rsidRPr="0049228A">
        <w:rPr>
          <w:rFonts w:ascii="Arial" w:hAnsi="Arial" w:cs="Arial"/>
          <w:sz w:val="16"/>
          <w:szCs w:val="16"/>
          <w:lang w:val="en-GB"/>
        </w:rPr>
        <w:t xml:space="preserve"> – Download per Hyperlink </w:t>
      </w:r>
      <w:proofErr w:type="spellStart"/>
      <w:r w:rsidR="00E11927" w:rsidRPr="0049228A">
        <w:rPr>
          <w:rFonts w:ascii="Arial" w:hAnsi="Arial" w:cs="Arial"/>
          <w:sz w:val="16"/>
          <w:szCs w:val="16"/>
          <w:lang w:val="en-GB"/>
        </w:rPr>
        <w:t>oder</w:t>
      </w:r>
      <w:proofErr w:type="spellEnd"/>
      <w:r w:rsidR="00E11927" w:rsidRPr="0049228A">
        <w:rPr>
          <w:rFonts w:ascii="Arial" w:hAnsi="Arial" w:cs="Arial"/>
          <w:sz w:val="16"/>
          <w:szCs w:val="16"/>
          <w:lang w:val="en-GB"/>
        </w:rPr>
        <w:t xml:space="preserve"> </w:t>
      </w:r>
      <w:proofErr w:type="spellStart"/>
      <w:r w:rsidR="00E11927" w:rsidRPr="0049228A">
        <w:rPr>
          <w:rFonts w:ascii="Arial" w:hAnsi="Arial" w:cs="Arial"/>
          <w:sz w:val="16"/>
          <w:szCs w:val="16"/>
          <w:lang w:val="en-GB"/>
        </w:rPr>
        <w:t>hier</w:t>
      </w:r>
      <w:proofErr w:type="spellEnd"/>
      <w:r w:rsidR="00E11927" w:rsidRPr="0049228A">
        <w:rPr>
          <w:rFonts w:ascii="Arial" w:hAnsi="Arial" w:cs="Arial"/>
          <w:sz w:val="16"/>
          <w:szCs w:val="16"/>
          <w:lang w:val="en-GB"/>
        </w:rPr>
        <w:t xml:space="preserve">: </w:t>
      </w:r>
      <w:hyperlink r:id="rId16" w:history="1">
        <w:r w:rsidR="000C4717" w:rsidRPr="0049228A">
          <w:rPr>
            <w:rStyle w:val="Hyperlink"/>
            <w:rFonts w:ascii="Arial" w:hAnsi="Arial" w:cs="Arial"/>
            <w:sz w:val="16"/>
            <w:szCs w:val="16"/>
            <w:lang w:val="en-GB"/>
          </w:rPr>
          <w:t>https://www.primo-pr.com/de/bildarchiv/index.html?dir=bolle_safety</w:t>
        </w:r>
      </w:hyperlink>
      <w:r w:rsidR="000C4717" w:rsidRPr="0049228A">
        <w:rPr>
          <w:rFonts w:ascii="Arial" w:hAnsi="Arial" w:cs="Arial"/>
          <w:sz w:val="16"/>
          <w:szCs w:val="16"/>
          <w:lang w:val="en-GB"/>
        </w:rPr>
        <w:t xml:space="preserve"> </w:t>
      </w:r>
    </w:p>
    <w:p w14:paraId="0DE7C4EE" w14:textId="72B0DD1E" w:rsidR="005427E4" w:rsidRPr="00DA7E9E" w:rsidRDefault="0034000F" w:rsidP="0034000F">
      <w:pPr>
        <w:spacing w:after="120" w:line="288" w:lineRule="auto"/>
        <w:jc w:val="both"/>
        <w:rPr>
          <w:rFonts w:ascii="Arial" w:hAnsi="Arial" w:cs="Arial"/>
          <w:b/>
          <w:bCs/>
          <w:sz w:val="22"/>
          <w:szCs w:val="22"/>
          <w:lang w:val="de-DE"/>
        </w:rPr>
      </w:pPr>
      <w:r w:rsidRPr="00DA7E9E">
        <w:rPr>
          <w:rFonts w:ascii="Arial" w:hAnsi="Arial" w:cs="Arial"/>
          <w:b/>
          <w:bCs/>
          <w:sz w:val="22"/>
          <w:szCs w:val="22"/>
          <w:lang w:val="de-DE"/>
        </w:rPr>
        <w:t xml:space="preserve">Die internationale Marke Bollé Safety, führend auf dem Markt für Sicherheitsbrillen (PSA), weitet ihre Blue-Blocker-Innovation - </w:t>
      </w:r>
      <w:proofErr w:type="spellStart"/>
      <w:r w:rsidRPr="00DA7E9E">
        <w:rPr>
          <w:rFonts w:ascii="Arial" w:hAnsi="Arial" w:cs="Arial"/>
          <w:b/>
          <w:bCs/>
          <w:sz w:val="22"/>
          <w:szCs w:val="22"/>
          <w:lang w:val="de-DE"/>
        </w:rPr>
        <w:t>ProBlu</w:t>
      </w:r>
      <w:proofErr w:type="spellEnd"/>
      <w:r w:rsidRPr="00DA7E9E">
        <w:rPr>
          <w:rFonts w:ascii="Arial" w:hAnsi="Arial" w:cs="Arial"/>
          <w:b/>
          <w:bCs/>
          <w:sz w:val="22"/>
          <w:szCs w:val="22"/>
          <w:lang w:val="de-DE"/>
        </w:rPr>
        <w:t xml:space="preserve"> genannt - auf Korrektionsgläser aus. Da verschreibungspflichtige Brillen 60 Prozent des PSA-Marktes ausmachen, ist diese Innovation Teil eines expandierenden Marktes, auf dem der Bedarf an Blaulichtschutzbrillen mit der zunehmenden Verbreitung neuer Praktiken wie Telearbeit immer größer wird. Im Jahr 2021 verbrachten Erwachsene durchschnittlich fast </w:t>
      </w:r>
      <w:r w:rsidR="005427E4" w:rsidRPr="00DA7E9E">
        <w:rPr>
          <w:rFonts w:ascii="Arial" w:hAnsi="Arial" w:cs="Arial"/>
          <w:b/>
          <w:bCs/>
          <w:sz w:val="22"/>
          <w:szCs w:val="22"/>
          <w:lang w:val="de-DE"/>
        </w:rPr>
        <w:t>sieben</w:t>
      </w:r>
      <w:r w:rsidRPr="00DA7E9E">
        <w:rPr>
          <w:rFonts w:ascii="Arial" w:hAnsi="Arial" w:cs="Arial"/>
          <w:b/>
          <w:bCs/>
          <w:sz w:val="22"/>
          <w:szCs w:val="22"/>
          <w:lang w:val="de-DE"/>
        </w:rPr>
        <w:t xml:space="preserve"> Stunden pro Tag an digitalen Geräten und setzten sich dabei schädlichem blauem Licht aus</w:t>
      </w:r>
      <w:r w:rsidR="00574421" w:rsidRPr="00DA7E9E">
        <w:rPr>
          <w:rFonts w:ascii="Arial" w:eastAsia="Arial" w:hAnsi="Arial" w:cs="Arial"/>
          <w:b/>
          <w:bCs/>
          <w:sz w:val="22"/>
          <w:szCs w:val="22"/>
          <w:vertAlign w:val="superscript"/>
          <w:lang w:val="de-DE"/>
        </w:rPr>
        <w:t>1</w:t>
      </w:r>
      <w:r w:rsidRPr="00DA7E9E">
        <w:rPr>
          <w:rFonts w:ascii="Arial" w:hAnsi="Arial" w:cs="Arial"/>
          <w:b/>
          <w:bCs/>
          <w:sz w:val="22"/>
          <w:szCs w:val="22"/>
          <w:lang w:val="de-DE"/>
        </w:rPr>
        <w:t>.</w:t>
      </w:r>
      <w:r w:rsidR="005427E4" w:rsidRPr="00DA7E9E">
        <w:rPr>
          <w:rFonts w:ascii="Arial" w:hAnsi="Arial" w:cs="Arial"/>
          <w:b/>
          <w:bCs/>
          <w:sz w:val="22"/>
          <w:szCs w:val="22"/>
          <w:lang w:val="de-DE"/>
        </w:rPr>
        <w:t xml:space="preserve"> </w:t>
      </w:r>
      <w:r w:rsidRPr="00DA7E9E">
        <w:rPr>
          <w:rFonts w:ascii="Arial" w:hAnsi="Arial" w:cs="Arial"/>
          <w:b/>
          <w:bCs/>
          <w:sz w:val="22"/>
          <w:szCs w:val="22"/>
          <w:lang w:val="de-DE"/>
        </w:rPr>
        <w:t>Blaues Licht kann in der Tat die Netzhaut schädigen, das Risiko von Augenkrankheiten erhöhen und die Überanstrengung der Augen verstärken, was die häufigste Beschwerde von Menschen ist, die am Computer arbeiten².</w:t>
      </w:r>
      <w:r w:rsidR="005427E4" w:rsidRPr="00DA7E9E">
        <w:rPr>
          <w:rFonts w:ascii="Arial" w:hAnsi="Arial" w:cs="Arial"/>
          <w:b/>
          <w:bCs/>
          <w:sz w:val="22"/>
          <w:szCs w:val="22"/>
          <w:lang w:val="de-DE"/>
        </w:rPr>
        <w:t xml:space="preserve"> </w:t>
      </w:r>
      <w:r w:rsidRPr="00DA7E9E">
        <w:rPr>
          <w:rFonts w:ascii="Arial" w:hAnsi="Arial" w:cs="Arial"/>
          <w:b/>
          <w:bCs/>
          <w:sz w:val="22"/>
          <w:szCs w:val="22"/>
          <w:lang w:val="de-DE"/>
        </w:rPr>
        <w:t>Ab September 2022 ist das neue Feature verfügbar.</w:t>
      </w:r>
    </w:p>
    <w:p w14:paraId="4F6FC8D3" w14:textId="3905940B" w:rsidR="0018182B" w:rsidRPr="00DA7E9E" w:rsidRDefault="0006144C" w:rsidP="00547B0C">
      <w:pPr>
        <w:autoSpaceDE w:val="0"/>
        <w:autoSpaceDN w:val="0"/>
        <w:adjustRightInd w:val="0"/>
        <w:spacing w:after="120" w:line="288" w:lineRule="auto"/>
        <w:jc w:val="both"/>
        <w:rPr>
          <w:rFonts w:ascii="Arial" w:hAnsi="Arial" w:cs="Arial"/>
          <w:sz w:val="22"/>
          <w:szCs w:val="22"/>
          <w:u w:val="single"/>
          <w:lang w:val="de-DE"/>
        </w:rPr>
      </w:pPr>
      <w:r w:rsidRPr="00DA7E9E">
        <w:rPr>
          <w:rFonts w:ascii="Arial" w:hAnsi="Arial" w:cs="Arial"/>
          <w:sz w:val="22"/>
          <w:szCs w:val="22"/>
          <w:u w:val="single"/>
          <w:lang w:val="de-DE"/>
        </w:rPr>
        <w:t>Brillen, die vor schädlichem Blaulicht schützen und sich an das Sehvermögen anpassen</w:t>
      </w:r>
    </w:p>
    <w:p w14:paraId="0273E32A" w14:textId="001F6018" w:rsidR="00666828" w:rsidRPr="00DA7E9E" w:rsidRDefault="00666828" w:rsidP="00547B0C">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 xml:space="preserve">Bollé Safety führte in diesem Sommer seine </w:t>
      </w:r>
      <w:r w:rsidRPr="00DA7E9E">
        <w:rPr>
          <w:rFonts w:ascii="Arial" w:hAnsi="Arial" w:cs="Arial"/>
          <w:b/>
          <w:bCs/>
          <w:sz w:val="22"/>
          <w:szCs w:val="22"/>
          <w:lang w:val="de-DE"/>
        </w:rPr>
        <w:t xml:space="preserve">Blue-Blocker-Technologie </w:t>
      </w:r>
      <w:proofErr w:type="spellStart"/>
      <w:r w:rsidRPr="00DA7E9E">
        <w:rPr>
          <w:rFonts w:ascii="Arial" w:hAnsi="Arial" w:cs="Arial"/>
          <w:b/>
          <w:bCs/>
          <w:sz w:val="22"/>
          <w:szCs w:val="22"/>
          <w:lang w:val="de-DE"/>
        </w:rPr>
        <w:t>ProBlu</w:t>
      </w:r>
      <w:proofErr w:type="spellEnd"/>
      <w:r w:rsidRPr="00DA7E9E">
        <w:rPr>
          <w:rFonts w:ascii="Arial" w:hAnsi="Arial" w:cs="Arial"/>
          <w:b/>
          <w:bCs/>
          <w:sz w:val="22"/>
          <w:szCs w:val="22"/>
          <w:lang w:val="de-DE"/>
        </w:rPr>
        <w:t xml:space="preserve"> für seine neue Office-Brillenreihe ein</w:t>
      </w:r>
      <w:r w:rsidRPr="00DA7E9E">
        <w:rPr>
          <w:rFonts w:ascii="Arial" w:hAnsi="Arial" w:cs="Arial"/>
          <w:sz w:val="22"/>
          <w:szCs w:val="22"/>
          <w:lang w:val="de-DE"/>
        </w:rPr>
        <w:t>. Diese Technologie zur Filterung von blauem Licht ist eine der fortschrittlichsten auf dem Markt, da sie für alle Korrektionsgläser verfügbar ist, aber vor allem aufgrund ihrer Eigenschaften, die das Know-how der Marke im Bereich des blauen Lichts widerspiegeln. Diese Innovation ergänzt das Sortiment der nicht verschreibungspflichtigen Blaulichtbrillen von Bollé Safety, die dem Schutz der Augen von Arbeitnehmern und Kindern, die schädlichem Blaulicht ausgesetzt sind, dienen und seit Dezember 2021 auf dem Markt sind.</w:t>
      </w:r>
    </w:p>
    <w:p w14:paraId="1034DD49" w14:textId="77777777" w:rsidR="006163CE" w:rsidRPr="00DA7E9E" w:rsidRDefault="006163CE" w:rsidP="006163CE">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 xml:space="preserve">Die Vorteile dieser Produktreihe für das Sehvermögen von Arbeitnehmern liegen in ihren vielfältigen Eigenschaften. Zunächst einmal besteht sie aus </w:t>
      </w:r>
      <w:r w:rsidRPr="00DA7E9E">
        <w:rPr>
          <w:rFonts w:ascii="Arial" w:hAnsi="Arial" w:cs="Arial"/>
          <w:b/>
          <w:bCs/>
          <w:sz w:val="22"/>
          <w:szCs w:val="22"/>
          <w:lang w:val="de-DE"/>
        </w:rPr>
        <w:t>elf Unisex-Fassungen für Büroangestellte</w:t>
      </w:r>
      <w:r w:rsidRPr="00DA7E9E">
        <w:rPr>
          <w:rFonts w:ascii="Arial" w:hAnsi="Arial" w:cs="Arial"/>
          <w:sz w:val="22"/>
          <w:szCs w:val="22"/>
          <w:lang w:val="de-DE"/>
        </w:rPr>
        <w:t xml:space="preserve">, für die die tägliche Nutzung eines digitalen Bildschirms für die Erledigung ihrer Aufgaben unerlässlich ist. Die Verwendung von Bildschirmen steht im Mittelpunkt der verschiedenen Berufe und Anwendungen. Diese Produktreihe soll daher nicht nur das Augenlicht ihrer Benutzer schützen, sondern auch den Übergang zwischen Berufs- und Privatleben erleichtern. </w:t>
      </w:r>
    </w:p>
    <w:p w14:paraId="460003F4" w14:textId="5719E520" w:rsidR="00ED0583" w:rsidRPr="00DA7E9E" w:rsidRDefault="006163CE" w:rsidP="006163CE">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lastRenderedPageBreak/>
        <w:t>Das Sortiment umfasst auch Kinderbrillen, die den Sehkomfort der Kinder bei der Nutzung von Bildschirmen, die im täglichen Leben immer präsenter werden, erhalten sollen.</w:t>
      </w:r>
    </w:p>
    <w:p w14:paraId="2DA8C69D" w14:textId="77777777" w:rsidR="00281F23" w:rsidRPr="00DA7E9E" w:rsidRDefault="00281F23" w:rsidP="00281F23">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 xml:space="preserve">Mit dieser Produktreihe, die ein perfektes Gleichgewicht zwischen optischer Klarheit und Blaulichtfilterung bietet, bestätigt Bollé Safety seine Hauptaufgabe: </w:t>
      </w:r>
      <w:r w:rsidRPr="00DA7E9E">
        <w:rPr>
          <w:rFonts w:ascii="Arial" w:hAnsi="Arial" w:cs="Arial"/>
          <w:b/>
          <w:bCs/>
          <w:sz w:val="22"/>
          <w:szCs w:val="22"/>
          <w:lang w:val="de-DE"/>
        </w:rPr>
        <w:t>den Schutz des Sehvermögens seiner Benutzer durch die Kombination von Leistung und Komfort</w:t>
      </w:r>
      <w:r w:rsidRPr="00DA7E9E">
        <w:rPr>
          <w:rFonts w:ascii="Arial" w:hAnsi="Arial" w:cs="Arial"/>
          <w:sz w:val="22"/>
          <w:szCs w:val="22"/>
          <w:lang w:val="de-DE"/>
        </w:rPr>
        <w:t xml:space="preserve">. </w:t>
      </w:r>
    </w:p>
    <w:p w14:paraId="2ABFF91E" w14:textId="3ED848CE" w:rsidR="009B0BCD" w:rsidRPr="00DA7E9E" w:rsidRDefault="00281F23" w:rsidP="00281F23">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Diese Gläser bestehen aus Polycarbonat, einem Material der Wahl, das eine bessere Filterung, Robustheit, dünnere und leichtere Gläser und eine längere Haltbarkeit bietet. Diese Glastechnologie ist für die Curve-4-Fassungen für den Bürogebrauch erhältlich.</w:t>
      </w:r>
    </w:p>
    <w:p w14:paraId="474EFF0B" w14:textId="3A5A4CCE" w:rsidR="00016893" w:rsidRPr="00DA7E9E" w:rsidRDefault="00016893" w:rsidP="00281F23">
      <w:pPr>
        <w:autoSpaceDE w:val="0"/>
        <w:autoSpaceDN w:val="0"/>
        <w:adjustRightInd w:val="0"/>
        <w:spacing w:after="120" w:line="288" w:lineRule="auto"/>
        <w:jc w:val="both"/>
        <w:rPr>
          <w:rFonts w:ascii="Arial" w:hAnsi="Arial" w:cs="Arial"/>
          <w:b/>
          <w:bCs/>
          <w:sz w:val="22"/>
          <w:szCs w:val="22"/>
          <w:lang w:val="de-DE"/>
        </w:rPr>
      </w:pPr>
      <w:r w:rsidRPr="00DA7E9E">
        <w:rPr>
          <w:rFonts w:ascii="Arial" w:hAnsi="Arial" w:cs="Arial"/>
          <w:b/>
          <w:bCs/>
          <w:sz w:val="22"/>
          <w:szCs w:val="22"/>
          <w:lang w:val="de-DE"/>
        </w:rPr>
        <w:t xml:space="preserve">Die </w:t>
      </w:r>
      <w:proofErr w:type="spellStart"/>
      <w:r w:rsidRPr="00DA7E9E">
        <w:rPr>
          <w:rFonts w:ascii="Arial" w:hAnsi="Arial" w:cs="Arial"/>
          <w:b/>
          <w:bCs/>
          <w:sz w:val="22"/>
          <w:szCs w:val="22"/>
          <w:lang w:val="de-DE"/>
        </w:rPr>
        <w:t>ProBlu</w:t>
      </w:r>
      <w:proofErr w:type="spellEnd"/>
      <w:r w:rsidRPr="00DA7E9E">
        <w:rPr>
          <w:rFonts w:ascii="Arial" w:hAnsi="Arial" w:cs="Arial"/>
          <w:b/>
          <w:bCs/>
          <w:sz w:val="22"/>
          <w:szCs w:val="22"/>
          <w:lang w:val="de-DE"/>
        </w:rPr>
        <w:t xml:space="preserve"> 420-Technologie absorbiert 100 Prozent des schädlichen blauen Lichts bei 420 </w:t>
      </w:r>
      <w:proofErr w:type="spellStart"/>
      <w:r w:rsidRPr="00DA7E9E">
        <w:rPr>
          <w:rFonts w:ascii="Arial" w:hAnsi="Arial" w:cs="Arial"/>
          <w:b/>
          <w:bCs/>
          <w:sz w:val="22"/>
          <w:szCs w:val="22"/>
          <w:lang w:val="de-DE"/>
        </w:rPr>
        <w:t>nm</w:t>
      </w:r>
      <w:proofErr w:type="spellEnd"/>
      <w:r w:rsidRPr="00DA7E9E">
        <w:rPr>
          <w:rFonts w:ascii="Arial" w:hAnsi="Arial" w:cs="Arial"/>
          <w:b/>
          <w:bCs/>
          <w:sz w:val="22"/>
          <w:szCs w:val="22"/>
          <w:lang w:val="de-DE"/>
        </w:rPr>
        <w:t xml:space="preserve"> und 80 Prozent des schädlichen blauen Lichts bei 445 </w:t>
      </w:r>
      <w:proofErr w:type="spellStart"/>
      <w:r w:rsidRPr="00DA7E9E">
        <w:rPr>
          <w:rFonts w:ascii="Arial" w:hAnsi="Arial" w:cs="Arial"/>
          <w:b/>
          <w:bCs/>
          <w:sz w:val="22"/>
          <w:szCs w:val="22"/>
          <w:lang w:val="de-DE"/>
        </w:rPr>
        <w:t>nm</w:t>
      </w:r>
      <w:proofErr w:type="spellEnd"/>
      <w:r w:rsidRPr="00DA7E9E">
        <w:rPr>
          <w:rFonts w:ascii="Arial" w:hAnsi="Arial" w:cs="Arial"/>
          <w:b/>
          <w:bCs/>
          <w:sz w:val="22"/>
          <w:szCs w:val="22"/>
          <w:lang w:val="de-DE"/>
        </w:rPr>
        <w:t>, um eine bessere Sicht zu gewährleisten.</w:t>
      </w:r>
    </w:p>
    <w:p w14:paraId="27517766" w14:textId="358DAE6B" w:rsidR="00016893" w:rsidRPr="00DA7E9E" w:rsidRDefault="00050208" w:rsidP="00281F23">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Die Modelle dieser Reihe werden über die Fachhändler und Optiker der Marke zu Preisen ab 145 Euro (ohne MwSt.) inklusive Rahmen erhältlich sein.</w:t>
      </w:r>
    </w:p>
    <w:p w14:paraId="3436A330" w14:textId="6509B289" w:rsidR="00050208" w:rsidRPr="00DA7E9E" w:rsidRDefault="00CE6AF1" w:rsidP="00281F23">
      <w:pPr>
        <w:autoSpaceDE w:val="0"/>
        <w:autoSpaceDN w:val="0"/>
        <w:adjustRightInd w:val="0"/>
        <w:spacing w:after="120" w:line="288" w:lineRule="auto"/>
        <w:jc w:val="both"/>
        <w:rPr>
          <w:rFonts w:ascii="Arial" w:hAnsi="Arial" w:cs="Arial"/>
          <w:sz w:val="22"/>
          <w:szCs w:val="22"/>
          <w:u w:val="single"/>
          <w:lang w:val="de-DE"/>
        </w:rPr>
      </w:pPr>
      <w:r w:rsidRPr="00DA7E9E">
        <w:rPr>
          <w:rFonts w:ascii="Arial" w:hAnsi="Arial" w:cs="Arial"/>
          <w:sz w:val="22"/>
          <w:szCs w:val="22"/>
          <w:u w:val="single"/>
          <w:lang w:val="de-DE"/>
        </w:rPr>
        <w:t>Eine Reihe von Schutzprodukten gegen schädliches Blaulicht auch ohne Rezept erhältlich</w:t>
      </w:r>
    </w:p>
    <w:p w14:paraId="3A0C7F2A" w14:textId="7D4B32C4" w:rsidR="00CE6AF1" w:rsidRPr="00DA7E9E" w:rsidRDefault="00EE0993" w:rsidP="00281F23">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 xml:space="preserve">Zusätzlich zu den Korrektionsgläsern ist die hochmoderne </w:t>
      </w:r>
      <w:proofErr w:type="spellStart"/>
      <w:r w:rsidRPr="00DA7E9E">
        <w:rPr>
          <w:rFonts w:ascii="Arial" w:hAnsi="Arial" w:cs="Arial"/>
          <w:sz w:val="22"/>
          <w:szCs w:val="22"/>
          <w:lang w:val="de-DE"/>
        </w:rPr>
        <w:t>ProBlu</w:t>
      </w:r>
      <w:proofErr w:type="spellEnd"/>
      <w:r w:rsidRPr="00DA7E9E">
        <w:rPr>
          <w:rFonts w:ascii="Arial" w:hAnsi="Arial" w:cs="Arial"/>
          <w:sz w:val="22"/>
          <w:szCs w:val="22"/>
          <w:lang w:val="de-DE"/>
        </w:rPr>
        <w:t>-Technologie auch für Schutzbrillen ohne Verschreibung erhältlich. Diese "Blue Light"-Reihe richtet sich an Bildschirmbenutzer und besteht aus sieben Unisex-Fassungen für industrielle Anforderungen, 24 Fassungen für den Einsatz im Büro - Damen, Herren, Unisex - und drei Fassungen für Kinder.</w:t>
      </w:r>
    </w:p>
    <w:p w14:paraId="0222B0D0" w14:textId="54122066" w:rsidR="004A6661" w:rsidRPr="00DA7E9E" w:rsidRDefault="004A6661" w:rsidP="00281F23">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Die Merkmale dieser Produktreihe variieren von Produktlinie zu Produktlinie, aber alle Brillengläser dieser Reihe sind aus Polycarbonat gefertigt. Die Kinder- und Bürobrillen verfügen über eine interne Antireflexbeschichtung, die den Sehkomfort erhöht. Die Modelle der Industrielinie sind mit einer Anti-Kratz-Beschichtung versehen.</w:t>
      </w:r>
    </w:p>
    <w:p w14:paraId="526BC4DC" w14:textId="53A11EF2" w:rsidR="004A6661" w:rsidRPr="00DA7E9E" w:rsidRDefault="006058E5" w:rsidP="00281F23">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 xml:space="preserve">Die Kurve der Produkte reicht von Stufe 4 bis 8, um sich an alle </w:t>
      </w:r>
      <w:r w:rsidR="00252B57" w:rsidRPr="00DA7E9E">
        <w:rPr>
          <w:rFonts w:ascii="Arial" w:hAnsi="Arial" w:cs="Arial"/>
          <w:sz w:val="22"/>
          <w:szCs w:val="22"/>
          <w:lang w:val="de-DE"/>
        </w:rPr>
        <w:t>Größenordnungen</w:t>
      </w:r>
      <w:r w:rsidRPr="00DA7E9E">
        <w:rPr>
          <w:rFonts w:ascii="Arial" w:hAnsi="Arial" w:cs="Arial"/>
          <w:sz w:val="22"/>
          <w:szCs w:val="22"/>
          <w:lang w:val="de-DE"/>
        </w:rPr>
        <w:t xml:space="preserve"> anzupassen und die Nutzer je nach ihren Bedürfnissen zu schützen. Je höher die Krümmung eines Gestells ist, desto geringer ist der Korrekturbereich. Ein stark gewölbtes Gestell (Basis 8) eignet sich beispielsweise für 70 Prozent der Korrekturen, während ein leicht gewölbtes Gestell (Basis 4) für Nutzer empfohlen wird, die eine starke Korrektur benötigen.</w:t>
      </w:r>
    </w:p>
    <w:p w14:paraId="46F85DA3" w14:textId="02C2DF6A" w:rsidR="00252B57" w:rsidRPr="00DA7E9E" w:rsidRDefault="00AC5488" w:rsidP="00281F23">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Diese Modelle sind in Europa zu einem empfohlenen Preis von 45 bis 75 Euro je nach Gestell erhältlich und werden über Fachhändler, E-Commerce-Websites und medizinische Fachkräfte wie Optiker verkauft.</w:t>
      </w:r>
    </w:p>
    <w:p w14:paraId="1C14DBB5" w14:textId="67113C7E" w:rsidR="00AC5488" w:rsidRPr="00DA7E9E" w:rsidRDefault="005910C3" w:rsidP="005910C3">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 xml:space="preserve">„Diese Technologie, die ein perfektes Gleichgewicht zwischen Klarheit, optischer Filterung und Sehkomfort bietet, wirkt den schädlichen Auswirkungen von blauem Licht entgegen und schont so die Sehkraft aller Bildschirmbenutzer“, so Peter Smith, CEO von Bollé Safety. </w:t>
      </w:r>
    </w:p>
    <w:p w14:paraId="1A99A627" w14:textId="7E037983" w:rsidR="005910C3" w:rsidRPr="00DA7E9E" w:rsidRDefault="0013241D" w:rsidP="005910C3">
      <w:pPr>
        <w:autoSpaceDE w:val="0"/>
        <w:autoSpaceDN w:val="0"/>
        <w:adjustRightInd w:val="0"/>
        <w:spacing w:after="120" w:line="288" w:lineRule="auto"/>
        <w:jc w:val="both"/>
        <w:rPr>
          <w:rFonts w:ascii="Arial" w:hAnsi="Arial" w:cs="Arial"/>
          <w:sz w:val="22"/>
          <w:szCs w:val="22"/>
          <w:u w:val="single"/>
          <w:lang w:val="de-DE"/>
        </w:rPr>
      </w:pPr>
      <w:r w:rsidRPr="00DA7E9E">
        <w:rPr>
          <w:rFonts w:ascii="Arial" w:hAnsi="Arial" w:cs="Arial"/>
          <w:sz w:val="22"/>
          <w:szCs w:val="22"/>
          <w:u w:val="single"/>
          <w:lang w:val="de-DE"/>
        </w:rPr>
        <w:t>Ein komplettes Sortiment an RX- und Blue-Blocker-Brillen für alle Risikoberufe</w:t>
      </w:r>
    </w:p>
    <w:p w14:paraId="312F1089" w14:textId="77777777" w:rsidR="003D3702" w:rsidRPr="00DA7E9E" w:rsidRDefault="003D3702" w:rsidP="003D3702">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 xml:space="preserve">Bollé Safety möchte den Sicherheits- und Industrieberufen den bestmöglichen Schutz bieten. Aus diesem Grund wird die B-Zen-Beschichtung (Antireflextechnologie mit Blaulichtfilterung) bevorzugt, denn sie ist gemäß den gesetzlichen Normen für Stoßfestigkeit zertifiziert und je nach gewähltem Scheibenmaterial mit S oder F gekennzeichnet. </w:t>
      </w:r>
    </w:p>
    <w:p w14:paraId="759A19C7" w14:textId="77777777" w:rsidR="003D3702" w:rsidRPr="00DA7E9E" w:rsidRDefault="003D3702" w:rsidP="003D3702">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lastRenderedPageBreak/>
        <w:t>Mit anderen Worten: Die Kennzeichnung auf den Gläsern und dem Rahmen gewährleistet, dass das Produkt gegen Stöße mit geringer Energie beständig ist. Diese Eigenschaften sind für diese Berufe unverzichtbar, und Bollé Safety stellt sicher, dass sie eine Fassung erhalten, die ihre Sicherheit und ihren Komfort garantiert.</w:t>
      </w:r>
    </w:p>
    <w:p w14:paraId="011286C6" w14:textId="33DBE878" w:rsidR="006058E5" w:rsidRPr="00DA7E9E" w:rsidRDefault="003D3702" w:rsidP="003D3702">
      <w:pPr>
        <w:autoSpaceDE w:val="0"/>
        <w:autoSpaceDN w:val="0"/>
        <w:adjustRightInd w:val="0"/>
        <w:spacing w:after="120" w:line="288" w:lineRule="auto"/>
        <w:jc w:val="both"/>
        <w:rPr>
          <w:rFonts w:ascii="Arial" w:hAnsi="Arial" w:cs="Arial"/>
          <w:sz w:val="22"/>
          <w:szCs w:val="22"/>
          <w:lang w:val="de-DE"/>
        </w:rPr>
      </w:pPr>
      <w:r w:rsidRPr="00DA7E9E">
        <w:rPr>
          <w:rFonts w:ascii="Arial" w:hAnsi="Arial" w:cs="Arial"/>
          <w:sz w:val="22"/>
          <w:szCs w:val="22"/>
          <w:lang w:val="de-DE"/>
        </w:rPr>
        <w:t>Für dieses industrielle Sortiment an Korrektionsbrillen mit B-Zen-Beschichtung sind 23 Unisex-Modelle ab 72 Euro (einschließlich Gestell) erhältlich.</w:t>
      </w:r>
    </w:p>
    <w:p w14:paraId="3EA1551D" w14:textId="77777777" w:rsidR="009703D3" w:rsidRPr="008A2EB9" w:rsidRDefault="009703D3" w:rsidP="007F2DE3">
      <w:pPr>
        <w:spacing w:line="276" w:lineRule="auto"/>
        <w:rPr>
          <w:rFonts w:ascii="Arial" w:eastAsia="Arial" w:hAnsi="Arial" w:cs="Arial"/>
          <w:i/>
          <w:iCs/>
          <w:sz w:val="22"/>
          <w:szCs w:val="22"/>
          <w:shd w:val="clear" w:color="auto" w:fill="FFFF00"/>
          <w:vertAlign w:val="superscript"/>
          <w:lang w:val="de-DE"/>
        </w:rPr>
      </w:pPr>
      <w:r w:rsidRPr="008A2EB9">
        <w:rPr>
          <w:rFonts w:ascii="Arial" w:eastAsia="Arial" w:hAnsi="Arial" w:cs="Arial"/>
          <w:i/>
          <w:iCs/>
          <w:sz w:val="22"/>
          <w:szCs w:val="22"/>
          <w:shd w:val="clear" w:color="auto" w:fill="FFFF00"/>
          <w:vertAlign w:val="superscript"/>
          <w:lang w:val="de-DE"/>
        </w:rPr>
        <w:t>1 Digital 2022 globaler Überblick | datareportal.com</w:t>
      </w:r>
    </w:p>
    <w:p w14:paraId="71230CE9" w14:textId="4E4B1B3E" w:rsidR="009703D3" w:rsidRPr="008A2EB9" w:rsidRDefault="009703D3" w:rsidP="007F2DE3">
      <w:pPr>
        <w:spacing w:line="276" w:lineRule="auto"/>
        <w:rPr>
          <w:rFonts w:ascii="Arial" w:eastAsia="Arial" w:hAnsi="Arial" w:cs="Arial"/>
          <w:i/>
          <w:iCs/>
          <w:sz w:val="22"/>
          <w:szCs w:val="22"/>
          <w:shd w:val="clear" w:color="auto" w:fill="FFFF00"/>
          <w:vertAlign w:val="superscript"/>
          <w:lang w:val="de-DE"/>
        </w:rPr>
      </w:pPr>
      <w:r w:rsidRPr="008A2EB9">
        <w:rPr>
          <w:rFonts w:ascii="Arial" w:eastAsia="Arial" w:hAnsi="Arial" w:cs="Arial"/>
          <w:i/>
          <w:iCs/>
          <w:sz w:val="22"/>
          <w:szCs w:val="22"/>
          <w:shd w:val="clear" w:color="auto" w:fill="FFFF00"/>
          <w:vertAlign w:val="superscript"/>
          <w:lang w:val="de-DE"/>
        </w:rPr>
        <w:t xml:space="preserve">2 </w:t>
      </w:r>
      <w:proofErr w:type="spellStart"/>
      <w:r w:rsidRPr="008A2EB9">
        <w:rPr>
          <w:rFonts w:ascii="Arial" w:eastAsia="Arial" w:hAnsi="Arial" w:cs="Arial"/>
          <w:i/>
          <w:iCs/>
          <w:sz w:val="22"/>
          <w:szCs w:val="22"/>
          <w:shd w:val="clear" w:color="auto" w:fill="FFFF00"/>
          <w:vertAlign w:val="superscript"/>
          <w:lang w:val="de-DE"/>
        </w:rPr>
        <w:t>Ranasinghe</w:t>
      </w:r>
      <w:proofErr w:type="spellEnd"/>
      <w:r w:rsidRPr="008A2EB9">
        <w:rPr>
          <w:rFonts w:ascii="Arial" w:eastAsia="Arial" w:hAnsi="Arial" w:cs="Arial"/>
          <w:i/>
          <w:iCs/>
          <w:sz w:val="22"/>
          <w:szCs w:val="22"/>
          <w:shd w:val="clear" w:color="auto" w:fill="FFFF00"/>
          <w:vertAlign w:val="superscript"/>
          <w:lang w:val="de-DE"/>
        </w:rPr>
        <w:t xml:space="preserve"> et al., 2016 | Computer-Vision-Syndrom bei Computer-Büroangestellten</w:t>
      </w:r>
    </w:p>
    <w:p w14:paraId="621366E6" w14:textId="77777777" w:rsidR="0006144C" w:rsidRPr="005910C3" w:rsidRDefault="0006144C" w:rsidP="00547B0C">
      <w:pPr>
        <w:autoSpaceDE w:val="0"/>
        <w:autoSpaceDN w:val="0"/>
        <w:adjustRightInd w:val="0"/>
        <w:spacing w:after="120" w:line="288" w:lineRule="auto"/>
        <w:jc w:val="both"/>
        <w:rPr>
          <w:rFonts w:ascii="Arial" w:hAnsi="Arial" w:cs="Arial"/>
          <w:sz w:val="14"/>
          <w:szCs w:val="14"/>
          <w:lang w:val="de-DE"/>
        </w:rPr>
      </w:pPr>
    </w:p>
    <w:p w14:paraId="599FAED0" w14:textId="46251D90" w:rsidR="003C439A" w:rsidRPr="00795F3A" w:rsidRDefault="003C439A" w:rsidP="00547B0C">
      <w:pPr>
        <w:autoSpaceDE w:val="0"/>
        <w:autoSpaceDN w:val="0"/>
        <w:adjustRightInd w:val="0"/>
        <w:spacing w:after="120" w:line="288" w:lineRule="auto"/>
        <w:jc w:val="both"/>
        <w:rPr>
          <w:rFonts w:ascii="Arial" w:hAnsi="Arial" w:cs="Arial"/>
          <w:b/>
          <w:bCs/>
          <w:sz w:val="20"/>
          <w:szCs w:val="20"/>
          <w:lang w:val="de-DE"/>
        </w:rPr>
      </w:pPr>
      <w:r w:rsidRPr="00795F3A">
        <w:rPr>
          <w:rFonts w:ascii="Arial" w:hAnsi="Arial" w:cs="Arial"/>
          <w:b/>
          <w:bCs/>
          <w:sz w:val="20"/>
          <w:szCs w:val="20"/>
          <w:lang w:val="de-DE"/>
        </w:rPr>
        <w:t xml:space="preserve">ÜBER BOLLÉ SAFETY </w:t>
      </w:r>
    </w:p>
    <w:p w14:paraId="0C71379C" w14:textId="657B1C1B" w:rsidR="0018182B" w:rsidRPr="003C439A" w:rsidRDefault="0014614B" w:rsidP="00547B0C">
      <w:pPr>
        <w:autoSpaceDE w:val="0"/>
        <w:autoSpaceDN w:val="0"/>
        <w:adjustRightInd w:val="0"/>
        <w:spacing w:after="120" w:line="288" w:lineRule="auto"/>
        <w:jc w:val="both"/>
        <w:rPr>
          <w:rFonts w:ascii="Arial" w:hAnsi="Arial" w:cs="Arial"/>
          <w:sz w:val="14"/>
          <w:szCs w:val="14"/>
          <w:lang w:val="de-DE"/>
        </w:rPr>
      </w:pPr>
      <w:r w:rsidRPr="0014614B">
        <w:rPr>
          <w:rFonts w:ascii="Arial" w:hAnsi="Arial" w:cs="Arial"/>
          <w:sz w:val="20"/>
          <w:szCs w:val="20"/>
          <w:lang w:val="de-DE"/>
        </w:rPr>
        <w:t xml:space="preserve">Bollé Safety wurde vor mehr als 130 Jahren in </w:t>
      </w:r>
      <w:proofErr w:type="spellStart"/>
      <w:r w:rsidRPr="0014614B">
        <w:rPr>
          <w:rFonts w:ascii="Arial" w:hAnsi="Arial" w:cs="Arial"/>
          <w:sz w:val="20"/>
          <w:szCs w:val="20"/>
          <w:lang w:val="de-DE"/>
        </w:rPr>
        <w:t>Oyonnax</w:t>
      </w:r>
      <w:proofErr w:type="spellEnd"/>
      <w:r w:rsidRPr="0014614B">
        <w:rPr>
          <w:rFonts w:ascii="Arial" w:hAnsi="Arial" w:cs="Arial"/>
          <w:sz w:val="20"/>
          <w:szCs w:val="20"/>
          <w:lang w:val="de-DE"/>
        </w:rPr>
        <w:t xml:space="preserve"> (01) gegründet und ist der weltweit führende Hersteller von PSA-Augenschutz (Persönliche Schutzausrüstung). Als internationaler Marktführer bietet Bollé Safety eine breite Palette moderner, komfortabler und stilvoller Augenschutzprodukte an, die an jedes Marktsegment angepasst sind (Bauwesen, Gesundheitswesen, Energie, Schwerindustrie, Verteidigung, Reinräume, Automobilbau, Büroautomation usw.) </w:t>
      </w:r>
      <w:r>
        <w:rPr>
          <w:rFonts w:ascii="Arial" w:hAnsi="Arial" w:cs="Arial"/>
          <w:sz w:val="20"/>
          <w:szCs w:val="20"/>
          <w:lang w:val="de-DE"/>
        </w:rPr>
        <w:t>sowie</w:t>
      </w:r>
      <w:r w:rsidRPr="0014614B">
        <w:rPr>
          <w:rFonts w:ascii="Arial" w:hAnsi="Arial" w:cs="Arial"/>
          <w:sz w:val="20"/>
          <w:szCs w:val="20"/>
          <w:lang w:val="de-DE"/>
        </w:rPr>
        <w:t xml:space="preserve"> zunehmend umweltfreundlich gestaltet sind. In mehr als 100 Ländern stattet die Marke 20 Millionen Arbeitnehmer mit Produkten aus, die ihre Leistung und ihr Wohlbefinden verbessern, wann immer ein Risiko für Augen und Gesicht besteht, selbst in den </w:t>
      </w:r>
      <w:proofErr w:type="gramStart"/>
      <w:r w:rsidRPr="0014614B">
        <w:rPr>
          <w:rFonts w:ascii="Arial" w:hAnsi="Arial" w:cs="Arial"/>
          <w:sz w:val="20"/>
          <w:szCs w:val="20"/>
          <w:lang w:val="de-DE"/>
        </w:rPr>
        <w:t>extremsten</w:t>
      </w:r>
      <w:proofErr w:type="gramEnd"/>
      <w:r w:rsidRPr="0014614B">
        <w:rPr>
          <w:rFonts w:ascii="Arial" w:hAnsi="Arial" w:cs="Arial"/>
          <w:sz w:val="20"/>
          <w:szCs w:val="20"/>
          <w:lang w:val="de-DE"/>
        </w:rPr>
        <w:t xml:space="preserve"> Umgebungen.</w:t>
      </w:r>
      <w:r>
        <w:rPr>
          <w:rFonts w:ascii="Arial" w:hAnsi="Arial" w:cs="Arial"/>
          <w:sz w:val="20"/>
          <w:szCs w:val="20"/>
          <w:lang w:val="de-DE"/>
        </w:rPr>
        <w:t xml:space="preserve"> </w:t>
      </w:r>
      <w:r w:rsidRPr="0014614B">
        <w:rPr>
          <w:rFonts w:ascii="Arial" w:hAnsi="Arial" w:cs="Arial"/>
          <w:sz w:val="20"/>
          <w:szCs w:val="20"/>
          <w:lang w:val="de-DE"/>
        </w:rPr>
        <w:t>Bollé Safety ist auch eine Referenz auf dem Markt für verschreibungspflichtige Schutzbrillen (mit fast 40 Jahren Erfahrung) und bietet Co-Branding und individuelle Anpassung an. Seit 2021 hat die Marke ihren CSR-Ansatz beschleunigt. Er umfasst die Bewertung der Auswirkungen, Produkt- und Verpackungsinnovationen sowie interne Verpflichtungen.</w:t>
      </w:r>
      <w:r>
        <w:rPr>
          <w:rFonts w:ascii="Arial" w:hAnsi="Arial" w:cs="Arial"/>
          <w:sz w:val="20"/>
          <w:szCs w:val="20"/>
          <w:lang w:val="de-DE"/>
        </w:rPr>
        <w:t xml:space="preserve"> </w:t>
      </w:r>
      <w:r w:rsidR="00EC14AA" w:rsidRPr="00EC14AA">
        <w:rPr>
          <w:rFonts w:ascii="Arial" w:hAnsi="Arial" w:cs="Arial"/>
          <w:sz w:val="20"/>
          <w:szCs w:val="20"/>
          <w:lang w:val="de-DE"/>
        </w:rPr>
        <w:t xml:space="preserve">Im Zuge der Einführung ihrer Go Green CSR-Maßnahme </w:t>
      </w:r>
      <w:r w:rsidR="00EC14AA">
        <w:rPr>
          <w:rFonts w:ascii="Arial" w:hAnsi="Arial" w:cs="Arial"/>
          <w:sz w:val="20"/>
          <w:szCs w:val="20"/>
          <w:lang w:val="de-DE"/>
        </w:rPr>
        <w:t>hat</w:t>
      </w:r>
      <w:r w:rsidR="00EC14AA" w:rsidRPr="00EC14AA">
        <w:rPr>
          <w:rFonts w:ascii="Arial" w:hAnsi="Arial" w:cs="Arial"/>
          <w:sz w:val="20"/>
          <w:szCs w:val="20"/>
          <w:lang w:val="de-DE"/>
        </w:rPr>
        <w:t xml:space="preserve"> Bollé Safety</w:t>
      </w:r>
      <w:r w:rsidR="00EC14AA">
        <w:rPr>
          <w:rFonts w:ascii="Arial" w:hAnsi="Arial" w:cs="Arial"/>
          <w:sz w:val="20"/>
          <w:szCs w:val="20"/>
          <w:lang w:val="de-DE"/>
        </w:rPr>
        <w:t xml:space="preserve"> </w:t>
      </w:r>
      <w:proofErr w:type="gramStart"/>
      <w:r w:rsidR="00EC14AA">
        <w:rPr>
          <w:rFonts w:ascii="Arial" w:hAnsi="Arial" w:cs="Arial"/>
          <w:sz w:val="20"/>
          <w:szCs w:val="20"/>
          <w:lang w:val="de-DE"/>
        </w:rPr>
        <w:t>in 2022</w:t>
      </w:r>
      <w:proofErr w:type="gramEnd"/>
      <w:r w:rsidR="00EC14AA">
        <w:rPr>
          <w:rFonts w:ascii="Arial" w:hAnsi="Arial" w:cs="Arial"/>
          <w:sz w:val="20"/>
          <w:szCs w:val="20"/>
          <w:lang w:val="de-DE"/>
        </w:rPr>
        <w:t xml:space="preserve"> auch</w:t>
      </w:r>
      <w:r w:rsidR="00EC14AA" w:rsidRPr="00EC14AA">
        <w:rPr>
          <w:rFonts w:ascii="Arial" w:hAnsi="Arial" w:cs="Arial"/>
          <w:sz w:val="20"/>
          <w:szCs w:val="20"/>
          <w:lang w:val="de-DE"/>
        </w:rPr>
        <w:t xml:space="preserve"> ihre erste CO2-Bilanz (</w:t>
      </w:r>
      <w:proofErr w:type="spellStart"/>
      <w:r w:rsidR="00EC14AA" w:rsidRPr="00EC14AA">
        <w:rPr>
          <w:rFonts w:ascii="Arial" w:hAnsi="Arial" w:cs="Arial"/>
          <w:sz w:val="20"/>
          <w:szCs w:val="20"/>
          <w:lang w:val="de-DE"/>
        </w:rPr>
        <w:t>Scope</w:t>
      </w:r>
      <w:proofErr w:type="spellEnd"/>
      <w:r w:rsidR="00EC14AA" w:rsidRPr="00EC14AA">
        <w:rPr>
          <w:rFonts w:ascii="Arial" w:hAnsi="Arial" w:cs="Arial"/>
          <w:sz w:val="20"/>
          <w:szCs w:val="20"/>
          <w:lang w:val="de-DE"/>
        </w:rPr>
        <w:t xml:space="preserve"> 1, 2 &amp; 3)</w:t>
      </w:r>
      <w:r w:rsidR="00EC14AA">
        <w:rPr>
          <w:rFonts w:ascii="Arial" w:hAnsi="Arial" w:cs="Arial"/>
          <w:sz w:val="20"/>
          <w:szCs w:val="20"/>
          <w:lang w:val="de-DE"/>
        </w:rPr>
        <w:t xml:space="preserve"> veröffentlicht</w:t>
      </w:r>
      <w:r w:rsidR="00EC14AA" w:rsidRPr="00EC14AA">
        <w:rPr>
          <w:rFonts w:ascii="Arial" w:hAnsi="Arial" w:cs="Arial"/>
          <w:sz w:val="20"/>
          <w:szCs w:val="20"/>
          <w:lang w:val="de-DE"/>
        </w:rPr>
        <w:t xml:space="preserve">, die auf 25.000 Tonnen pro Jahr geschätzt wird. Mit dieser ersten Beobachtung werden die Weichen für die Transformation eines Marktes gestellt, in dem Bollé Safety eine führende Position einnehmen möchte. </w:t>
      </w:r>
      <w:hyperlink r:id="rId17" w:history="1">
        <w:r w:rsidRPr="00ED2C24">
          <w:rPr>
            <w:rStyle w:val="Hyperlink"/>
            <w:rFonts w:ascii="Arial" w:hAnsi="Arial" w:cs="Arial"/>
            <w:sz w:val="20"/>
            <w:szCs w:val="20"/>
            <w:lang w:val="de-DE"/>
          </w:rPr>
          <w:t>www.bolle-safety.com</w:t>
        </w:r>
      </w:hyperlink>
      <w:r>
        <w:rPr>
          <w:rFonts w:ascii="Arial" w:hAnsi="Arial" w:cs="Arial"/>
          <w:sz w:val="20"/>
          <w:szCs w:val="20"/>
          <w:lang w:val="de-DE"/>
        </w:rPr>
        <w:t xml:space="preserve"> </w:t>
      </w:r>
    </w:p>
    <w:p w14:paraId="3A9E92F0" w14:textId="77777777" w:rsidR="00B65E85" w:rsidRPr="003C439A" w:rsidRDefault="00B65E85" w:rsidP="00547B0C">
      <w:pPr>
        <w:autoSpaceDE w:val="0"/>
        <w:autoSpaceDN w:val="0"/>
        <w:adjustRightInd w:val="0"/>
        <w:spacing w:after="120" w:line="288" w:lineRule="auto"/>
        <w:jc w:val="both"/>
        <w:rPr>
          <w:rFonts w:ascii="Times New Roman" w:hAnsi="Times New Roman" w:cs="Times New Roman"/>
          <w:sz w:val="21"/>
          <w:szCs w:val="21"/>
          <w:lang w:val="de-DE"/>
        </w:rPr>
      </w:pPr>
    </w:p>
    <w:sectPr w:rsidR="00B65E85" w:rsidRPr="003C439A">
      <w:head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3E5231" w14:textId="77777777" w:rsidR="00FB06EA" w:rsidRDefault="00FB06EA" w:rsidP="000D5989">
      <w:r>
        <w:separator/>
      </w:r>
    </w:p>
  </w:endnote>
  <w:endnote w:type="continuationSeparator" w:id="0">
    <w:p w14:paraId="0D842562" w14:textId="77777777" w:rsidR="00FB06EA" w:rsidRDefault="00FB06EA" w:rsidP="000D5989">
      <w:r>
        <w:continuationSeparator/>
      </w:r>
    </w:p>
  </w:endnote>
  <w:endnote w:type="continuationNotice" w:id="1">
    <w:p w14:paraId="49B02CFE" w14:textId="77777777" w:rsidR="00FB06EA" w:rsidRDefault="00FB06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ıÃ˛">
    <w:altName w:val="Calibri"/>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4EB6AC" w14:textId="77777777" w:rsidR="00FB06EA" w:rsidRDefault="00FB06EA" w:rsidP="000D5989">
      <w:r>
        <w:separator/>
      </w:r>
    </w:p>
  </w:footnote>
  <w:footnote w:type="continuationSeparator" w:id="0">
    <w:p w14:paraId="5FF77AB0" w14:textId="77777777" w:rsidR="00FB06EA" w:rsidRDefault="00FB06EA" w:rsidP="000D5989">
      <w:r>
        <w:continuationSeparator/>
      </w:r>
    </w:p>
  </w:footnote>
  <w:footnote w:type="continuationNotice" w:id="1">
    <w:p w14:paraId="621E21FC" w14:textId="77777777" w:rsidR="00FB06EA" w:rsidRDefault="00FB06E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971E9" w14:textId="4CC61FFF" w:rsidR="000D5989" w:rsidRPr="002D136E" w:rsidRDefault="002D136E" w:rsidP="005002AB">
    <w:pPr>
      <w:pStyle w:val="Kopfzeile"/>
      <w:jc w:val="center"/>
    </w:pPr>
    <w:r>
      <w:rPr>
        <w:noProof/>
      </w:rPr>
      <w:drawing>
        <wp:inline distT="0" distB="0" distL="0" distR="0" wp14:anchorId="67C66588" wp14:editId="17141155">
          <wp:extent cx="2180585" cy="792000"/>
          <wp:effectExtent l="0" t="0" r="0" b="8255"/>
          <wp:docPr id="1" name="Grafik 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pic:nvPicPr>
                <pic:blipFill>
                  <a:blip r:embed="rId1"/>
                  <a:stretch>
                    <a:fillRect/>
                  </a:stretch>
                </pic:blipFill>
                <pic:spPr>
                  <a:xfrm>
                    <a:off x="0" y="0"/>
                    <a:ext cx="2180585" cy="7920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DF2F3D"/>
    <w:multiLevelType w:val="hybridMultilevel"/>
    <w:tmpl w:val="610EC044"/>
    <w:lvl w:ilvl="0" w:tplc="3CBC717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AF324D3"/>
    <w:multiLevelType w:val="hybridMultilevel"/>
    <w:tmpl w:val="BB24CBE2"/>
    <w:lvl w:ilvl="0" w:tplc="F5987B38">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35940CF"/>
    <w:multiLevelType w:val="hybridMultilevel"/>
    <w:tmpl w:val="A4C23F38"/>
    <w:lvl w:ilvl="0" w:tplc="18E2E38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B162593"/>
    <w:multiLevelType w:val="hybridMultilevel"/>
    <w:tmpl w:val="9E1E8BDC"/>
    <w:lvl w:ilvl="0" w:tplc="F5987B38">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0A869D2"/>
    <w:multiLevelType w:val="hybridMultilevel"/>
    <w:tmpl w:val="BA32B218"/>
    <w:lvl w:ilvl="0" w:tplc="7DE07CEA">
      <w:numFmt w:val="bullet"/>
      <w:lvlText w:val="-"/>
      <w:lvlJc w:val="left"/>
      <w:pPr>
        <w:ind w:left="720" w:hanging="360"/>
      </w:pPr>
      <w:rPr>
        <w:rFonts w:ascii="”ıÃ˛" w:eastAsiaTheme="minorHAnsi" w:hAnsi="”ıÃ˛" w:cs="”ıÃ˛"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2CD4A36"/>
    <w:multiLevelType w:val="hybridMultilevel"/>
    <w:tmpl w:val="FE76C344"/>
    <w:lvl w:ilvl="0" w:tplc="231E879C">
      <w:numFmt w:val="bullet"/>
      <w:lvlText w:val=""/>
      <w:lvlJc w:val="left"/>
      <w:pPr>
        <w:ind w:left="720" w:hanging="360"/>
      </w:pPr>
      <w:rPr>
        <w:rFonts w:ascii="Wingdings" w:eastAsiaTheme="minorHAnsi" w:hAnsi="Wingdings"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AC7326A"/>
    <w:multiLevelType w:val="hybridMultilevel"/>
    <w:tmpl w:val="A72253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8BA4B9D"/>
    <w:multiLevelType w:val="hybridMultilevel"/>
    <w:tmpl w:val="356E2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71723006">
    <w:abstractNumId w:val="4"/>
  </w:num>
  <w:num w:numId="2" w16cid:durableId="199981097">
    <w:abstractNumId w:val="0"/>
  </w:num>
  <w:num w:numId="3" w16cid:durableId="75908637">
    <w:abstractNumId w:val="7"/>
  </w:num>
  <w:num w:numId="4" w16cid:durableId="96222975">
    <w:abstractNumId w:val="2"/>
  </w:num>
  <w:num w:numId="5" w16cid:durableId="1069427510">
    <w:abstractNumId w:val="6"/>
  </w:num>
  <w:num w:numId="6" w16cid:durableId="690759358">
    <w:abstractNumId w:val="3"/>
  </w:num>
  <w:num w:numId="7" w16cid:durableId="807556338">
    <w:abstractNumId w:val="1"/>
  </w:num>
  <w:num w:numId="8" w16cid:durableId="192336653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56FC"/>
    <w:rsid w:val="00016893"/>
    <w:rsid w:val="000302E0"/>
    <w:rsid w:val="00033C23"/>
    <w:rsid w:val="00040459"/>
    <w:rsid w:val="000471C8"/>
    <w:rsid w:val="00050208"/>
    <w:rsid w:val="0006144C"/>
    <w:rsid w:val="00065681"/>
    <w:rsid w:val="000C4717"/>
    <w:rsid w:val="000D35B3"/>
    <w:rsid w:val="000D5989"/>
    <w:rsid w:val="000F190B"/>
    <w:rsid w:val="000F4378"/>
    <w:rsid w:val="000F7807"/>
    <w:rsid w:val="0012207C"/>
    <w:rsid w:val="0013241D"/>
    <w:rsid w:val="001427E6"/>
    <w:rsid w:val="0014614B"/>
    <w:rsid w:val="00181592"/>
    <w:rsid w:val="0018182B"/>
    <w:rsid w:val="001876AE"/>
    <w:rsid w:val="00187EFD"/>
    <w:rsid w:val="001C28FD"/>
    <w:rsid w:val="001E115C"/>
    <w:rsid w:val="00204000"/>
    <w:rsid w:val="00252B57"/>
    <w:rsid w:val="00262C8D"/>
    <w:rsid w:val="00270E43"/>
    <w:rsid w:val="00281F23"/>
    <w:rsid w:val="00284238"/>
    <w:rsid w:val="00293F79"/>
    <w:rsid w:val="002D136E"/>
    <w:rsid w:val="002F002D"/>
    <w:rsid w:val="003103E9"/>
    <w:rsid w:val="0034000F"/>
    <w:rsid w:val="0035259E"/>
    <w:rsid w:val="00352CF1"/>
    <w:rsid w:val="00374FB6"/>
    <w:rsid w:val="00394052"/>
    <w:rsid w:val="003A0CF0"/>
    <w:rsid w:val="003A3448"/>
    <w:rsid w:val="003C439A"/>
    <w:rsid w:val="003D3702"/>
    <w:rsid w:val="004011E8"/>
    <w:rsid w:val="004337FB"/>
    <w:rsid w:val="00436008"/>
    <w:rsid w:val="00444641"/>
    <w:rsid w:val="00464452"/>
    <w:rsid w:val="004676F3"/>
    <w:rsid w:val="0047119A"/>
    <w:rsid w:val="0049228A"/>
    <w:rsid w:val="004A6661"/>
    <w:rsid w:val="004D3DF1"/>
    <w:rsid w:val="004E1C64"/>
    <w:rsid w:val="005002AB"/>
    <w:rsid w:val="0052400D"/>
    <w:rsid w:val="00525A95"/>
    <w:rsid w:val="005427E4"/>
    <w:rsid w:val="00547B0C"/>
    <w:rsid w:val="005504E3"/>
    <w:rsid w:val="00562509"/>
    <w:rsid w:val="0056590A"/>
    <w:rsid w:val="00565F66"/>
    <w:rsid w:val="00570A0C"/>
    <w:rsid w:val="00574421"/>
    <w:rsid w:val="00577CDB"/>
    <w:rsid w:val="00585499"/>
    <w:rsid w:val="005856FC"/>
    <w:rsid w:val="005910C3"/>
    <w:rsid w:val="005B034F"/>
    <w:rsid w:val="005B42B5"/>
    <w:rsid w:val="005C4841"/>
    <w:rsid w:val="005D005F"/>
    <w:rsid w:val="005D3A7A"/>
    <w:rsid w:val="005E5BCC"/>
    <w:rsid w:val="006058E5"/>
    <w:rsid w:val="006163CE"/>
    <w:rsid w:val="0063114F"/>
    <w:rsid w:val="006340E5"/>
    <w:rsid w:val="00640BF4"/>
    <w:rsid w:val="00666505"/>
    <w:rsid w:val="00666828"/>
    <w:rsid w:val="006678A3"/>
    <w:rsid w:val="00686437"/>
    <w:rsid w:val="0069250F"/>
    <w:rsid w:val="006C43A1"/>
    <w:rsid w:val="006E0866"/>
    <w:rsid w:val="006E2C3D"/>
    <w:rsid w:val="007203E0"/>
    <w:rsid w:val="00737B83"/>
    <w:rsid w:val="00757DDE"/>
    <w:rsid w:val="007750CF"/>
    <w:rsid w:val="00795F3A"/>
    <w:rsid w:val="007B3A50"/>
    <w:rsid w:val="007B5219"/>
    <w:rsid w:val="007B6B8E"/>
    <w:rsid w:val="007E276F"/>
    <w:rsid w:val="007F2DE3"/>
    <w:rsid w:val="0081296F"/>
    <w:rsid w:val="008136BB"/>
    <w:rsid w:val="008743B3"/>
    <w:rsid w:val="0088783B"/>
    <w:rsid w:val="008A2EB9"/>
    <w:rsid w:val="008B47BF"/>
    <w:rsid w:val="008B7153"/>
    <w:rsid w:val="008E1D37"/>
    <w:rsid w:val="008E6F13"/>
    <w:rsid w:val="0094575D"/>
    <w:rsid w:val="0095068C"/>
    <w:rsid w:val="009665DA"/>
    <w:rsid w:val="009703D3"/>
    <w:rsid w:val="00976E9C"/>
    <w:rsid w:val="009A4E84"/>
    <w:rsid w:val="009B0BCD"/>
    <w:rsid w:val="009C7D73"/>
    <w:rsid w:val="00A06456"/>
    <w:rsid w:val="00A16860"/>
    <w:rsid w:val="00A33951"/>
    <w:rsid w:val="00A4275E"/>
    <w:rsid w:val="00A805A5"/>
    <w:rsid w:val="00AA2C07"/>
    <w:rsid w:val="00AB2C23"/>
    <w:rsid w:val="00AC5488"/>
    <w:rsid w:val="00AF7F89"/>
    <w:rsid w:val="00B24D55"/>
    <w:rsid w:val="00B26730"/>
    <w:rsid w:val="00B33113"/>
    <w:rsid w:val="00B4083B"/>
    <w:rsid w:val="00B42C60"/>
    <w:rsid w:val="00B571E3"/>
    <w:rsid w:val="00B61376"/>
    <w:rsid w:val="00B65E85"/>
    <w:rsid w:val="00B7720D"/>
    <w:rsid w:val="00B9679B"/>
    <w:rsid w:val="00BB3BE8"/>
    <w:rsid w:val="00BB6C8A"/>
    <w:rsid w:val="00BD5625"/>
    <w:rsid w:val="00BD6647"/>
    <w:rsid w:val="00C30332"/>
    <w:rsid w:val="00C36BDF"/>
    <w:rsid w:val="00CA1013"/>
    <w:rsid w:val="00CC1182"/>
    <w:rsid w:val="00CD198E"/>
    <w:rsid w:val="00CD51F3"/>
    <w:rsid w:val="00CE6AF1"/>
    <w:rsid w:val="00D35D46"/>
    <w:rsid w:val="00D53FD6"/>
    <w:rsid w:val="00D77C31"/>
    <w:rsid w:val="00D80FD8"/>
    <w:rsid w:val="00DA58FC"/>
    <w:rsid w:val="00DA7E9E"/>
    <w:rsid w:val="00DB590F"/>
    <w:rsid w:val="00DD529E"/>
    <w:rsid w:val="00DE24FA"/>
    <w:rsid w:val="00E05695"/>
    <w:rsid w:val="00E11927"/>
    <w:rsid w:val="00E25578"/>
    <w:rsid w:val="00E276DE"/>
    <w:rsid w:val="00E600F1"/>
    <w:rsid w:val="00E948F7"/>
    <w:rsid w:val="00E97D36"/>
    <w:rsid w:val="00EC14AA"/>
    <w:rsid w:val="00ED0583"/>
    <w:rsid w:val="00EE0993"/>
    <w:rsid w:val="00EE0B1A"/>
    <w:rsid w:val="00F03687"/>
    <w:rsid w:val="00F10CD8"/>
    <w:rsid w:val="00F87DDC"/>
    <w:rsid w:val="00FB06EA"/>
    <w:rsid w:val="00FB2462"/>
    <w:rsid w:val="00FB2A24"/>
    <w:rsid w:val="00FD5114"/>
    <w:rsid w:val="00FD7BDD"/>
    <w:rsid w:val="00FF0DE8"/>
    <w:rsid w:val="00FF232D"/>
    <w:rsid w:val="00FF6CB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E99582"/>
  <w15:chartTrackingRefBased/>
  <w15:docId w15:val="{D8D0AA4A-C6E7-4771-AD2C-D238E75E4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525A95"/>
    <w:pPr>
      <w:ind w:left="720"/>
      <w:contextualSpacing/>
    </w:pPr>
  </w:style>
  <w:style w:type="paragraph" w:styleId="Kopfzeile">
    <w:name w:val="header"/>
    <w:basedOn w:val="Standard"/>
    <w:link w:val="KopfzeileZchn"/>
    <w:uiPriority w:val="99"/>
    <w:unhideWhenUsed/>
    <w:rsid w:val="000D5989"/>
    <w:pPr>
      <w:tabs>
        <w:tab w:val="center" w:pos="4536"/>
        <w:tab w:val="right" w:pos="9072"/>
      </w:tabs>
    </w:pPr>
  </w:style>
  <w:style w:type="character" w:customStyle="1" w:styleId="KopfzeileZchn">
    <w:name w:val="Kopfzeile Zchn"/>
    <w:basedOn w:val="Absatz-Standardschriftart"/>
    <w:link w:val="Kopfzeile"/>
    <w:uiPriority w:val="99"/>
    <w:rsid w:val="000D5989"/>
  </w:style>
  <w:style w:type="paragraph" w:styleId="Fuzeile">
    <w:name w:val="footer"/>
    <w:basedOn w:val="Standard"/>
    <w:link w:val="FuzeileZchn"/>
    <w:uiPriority w:val="99"/>
    <w:unhideWhenUsed/>
    <w:rsid w:val="000D5989"/>
    <w:pPr>
      <w:tabs>
        <w:tab w:val="center" w:pos="4536"/>
        <w:tab w:val="right" w:pos="9072"/>
      </w:tabs>
    </w:pPr>
  </w:style>
  <w:style w:type="character" w:customStyle="1" w:styleId="FuzeileZchn">
    <w:name w:val="Fußzeile Zchn"/>
    <w:basedOn w:val="Absatz-Standardschriftart"/>
    <w:link w:val="Fuzeile"/>
    <w:uiPriority w:val="99"/>
    <w:rsid w:val="000D5989"/>
  </w:style>
  <w:style w:type="character" w:styleId="Kommentarzeichen">
    <w:name w:val="annotation reference"/>
    <w:basedOn w:val="Absatz-Standardschriftart"/>
    <w:uiPriority w:val="99"/>
    <w:semiHidden/>
    <w:unhideWhenUsed/>
    <w:rsid w:val="0035259E"/>
    <w:rPr>
      <w:sz w:val="16"/>
      <w:szCs w:val="16"/>
    </w:rPr>
  </w:style>
  <w:style w:type="paragraph" w:styleId="Kommentartext">
    <w:name w:val="annotation text"/>
    <w:basedOn w:val="Standard"/>
    <w:link w:val="KommentartextZchn"/>
    <w:uiPriority w:val="99"/>
    <w:unhideWhenUsed/>
    <w:rsid w:val="0035259E"/>
    <w:rPr>
      <w:sz w:val="20"/>
      <w:szCs w:val="20"/>
    </w:rPr>
  </w:style>
  <w:style w:type="character" w:customStyle="1" w:styleId="KommentartextZchn">
    <w:name w:val="Kommentartext Zchn"/>
    <w:basedOn w:val="Absatz-Standardschriftart"/>
    <w:link w:val="Kommentartext"/>
    <w:uiPriority w:val="99"/>
    <w:rsid w:val="0035259E"/>
    <w:rPr>
      <w:sz w:val="20"/>
      <w:szCs w:val="20"/>
    </w:rPr>
  </w:style>
  <w:style w:type="paragraph" w:styleId="Kommentarthema">
    <w:name w:val="annotation subject"/>
    <w:basedOn w:val="Kommentartext"/>
    <w:next w:val="Kommentartext"/>
    <w:link w:val="KommentarthemaZchn"/>
    <w:uiPriority w:val="99"/>
    <w:semiHidden/>
    <w:unhideWhenUsed/>
    <w:rsid w:val="0035259E"/>
    <w:rPr>
      <w:b/>
      <w:bCs/>
    </w:rPr>
  </w:style>
  <w:style w:type="character" w:customStyle="1" w:styleId="KommentarthemaZchn">
    <w:name w:val="Kommentarthema Zchn"/>
    <w:basedOn w:val="KommentartextZchn"/>
    <w:link w:val="Kommentarthema"/>
    <w:uiPriority w:val="99"/>
    <w:semiHidden/>
    <w:rsid w:val="0035259E"/>
    <w:rPr>
      <w:b/>
      <w:bCs/>
      <w:sz w:val="20"/>
      <w:szCs w:val="20"/>
    </w:rPr>
  </w:style>
  <w:style w:type="paragraph" w:styleId="berarbeitung">
    <w:name w:val="Revision"/>
    <w:hidden/>
    <w:uiPriority w:val="99"/>
    <w:semiHidden/>
    <w:rsid w:val="0035259E"/>
  </w:style>
  <w:style w:type="character" w:styleId="Hyperlink">
    <w:name w:val="Hyperlink"/>
    <w:basedOn w:val="Absatz-Standardschriftart"/>
    <w:uiPriority w:val="99"/>
    <w:unhideWhenUsed/>
    <w:rsid w:val="000C4717"/>
    <w:rPr>
      <w:color w:val="0563C1" w:themeColor="hyperlink"/>
      <w:u w:val="single"/>
    </w:rPr>
  </w:style>
  <w:style w:type="character" w:styleId="NichtaufgelsteErwhnung">
    <w:name w:val="Unresolved Mention"/>
    <w:basedOn w:val="Absatz-Standardschriftart"/>
    <w:uiPriority w:val="99"/>
    <w:semiHidden/>
    <w:unhideWhenUsed/>
    <w:rsid w:val="000C47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7497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primo-pr.com/cms/upload/bildarchiv/bolle_safety/PXFOFKI109-KICK-OFFICE-LEFT.jpg" TargetMode="External"/><Relationship Id="rId17" Type="http://schemas.openxmlformats.org/officeDocument/2006/relationships/hyperlink" Target="http://www.bolle-safety.com" TargetMode="External"/><Relationship Id="rId2" Type="http://schemas.openxmlformats.org/officeDocument/2006/relationships/customXml" Target="../customXml/item2.xml"/><Relationship Id="rId16" Type="http://schemas.openxmlformats.org/officeDocument/2006/relationships/hyperlink" Target="https://www.primo-pr.com/de/bildarchiv/index.html?dir=bolle_safety"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image" Target="media/image3.png"/><Relationship Id="rId10" Type="http://schemas.openxmlformats.org/officeDocument/2006/relationships/hyperlink" Target="https://www.primo-pr.com/cms/upload/bildarchiv/bolle_safety/DALLASWELLINGTON_10725-hrs.jpg" TargetMode="Externa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primo-pr.com/cms/upload/bildarchiv/bolle_safety/WELLINGTON_BLACKLONDON_TORTOISE_8418-hrs.jp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6" ma:contentTypeDescription="Ein neues Dokument erstellen." ma:contentTypeScope="" ma:versionID="2b8a1f1859c55289287f0c770988b70b">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43d4189640d68d48a0c7d136c76b7e6"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5B8FBD-0772-4C0A-969B-89394BE217B8}">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customXml/itemProps2.xml><?xml version="1.0" encoding="utf-8"?>
<ds:datastoreItem xmlns:ds="http://schemas.openxmlformats.org/officeDocument/2006/customXml" ds:itemID="{03FEACFD-94C8-4706-BBEC-DB2504D8F5F5}">
  <ds:schemaRefs>
    <ds:schemaRef ds:uri="http://schemas.microsoft.com/sharepoint/v3/contenttype/forms"/>
  </ds:schemaRefs>
</ds:datastoreItem>
</file>

<file path=customXml/itemProps3.xml><?xml version="1.0" encoding="utf-8"?>
<ds:datastoreItem xmlns:ds="http://schemas.openxmlformats.org/officeDocument/2006/customXml" ds:itemID="{B9C4EDFD-516B-4CB7-B6D4-043FDE5A55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1150</Words>
  <Characters>6560</Characters>
  <Application>Microsoft Office Word</Application>
  <DocSecurity>0</DocSecurity>
  <Lines>54</Lines>
  <Paragraphs>15</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7695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DUCROS</dc:creator>
  <cp:keywords/>
  <dc:description/>
  <cp:lastModifiedBy>Nuray Güler</cp:lastModifiedBy>
  <cp:revision>13</cp:revision>
  <cp:lastPrinted>2022-06-22T12:00:00Z</cp:lastPrinted>
  <dcterms:created xsi:type="dcterms:W3CDTF">2022-09-06T09:49:00Z</dcterms:created>
  <dcterms:modified xsi:type="dcterms:W3CDTF">2022-09-07T16:36:00Z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